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6233F4C1"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D760AF" w:rsidRPr="00D760AF">
        <w:t xml:space="preserve"> </w:t>
      </w:r>
      <w:r w:rsidR="00C715EA" w:rsidRPr="00C715EA">
        <w:t>https://segezha-group.com/product/wood-chemistry/</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12BD1"/>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715EA"/>
    <w:rsid w:val="00CB5A75"/>
    <w:rsid w:val="00CC0FF9"/>
    <w:rsid w:val="00CE3C2C"/>
    <w:rsid w:val="00D23618"/>
    <w:rsid w:val="00D5534E"/>
    <w:rsid w:val="00D760AF"/>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9301</Words>
  <Characters>53017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2023-08-24T12:45:00Z</dcterms:created>
  <dcterms:modified xsi:type="dcterms:W3CDTF">2023-08-24T12:45:00Z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